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93497" w14:textId="1C7B981E" w:rsidR="00CB4D5C" w:rsidRPr="0014532A" w:rsidRDefault="007C46B5" w:rsidP="0014532A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1453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Додаток </w:t>
      </w:r>
      <w:r w:rsidR="0014532A" w:rsidRPr="001453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№ 2</w:t>
      </w:r>
      <w:r w:rsidRPr="001453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2D681564" w14:textId="798EABAD" w:rsidR="00CB4D5C" w:rsidRPr="0014532A" w:rsidRDefault="007C46B5" w:rsidP="0014532A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1453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 Договору про постачання електричної енергії споживачу</w:t>
      </w:r>
    </w:p>
    <w:p w14:paraId="180ED2C8" w14:textId="77777777" w:rsidR="0014532A" w:rsidRPr="0014532A" w:rsidRDefault="0014532A" w:rsidP="0014532A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453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(публічний договір приєднання)</w:t>
      </w:r>
    </w:p>
    <w:p w14:paraId="715D017B" w14:textId="77777777" w:rsidR="0014532A" w:rsidRDefault="001453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D097705" w14:textId="77777777" w:rsidR="00CB4D5C" w:rsidRDefault="00CB4D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F27BE8D" w14:textId="1D827303" w:rsidR="00CB4D5C" w:rsidRDefault="007C46B5" w:rsidP="00B479F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Комерційна пропозиція </w:t>
      </w:r>
      <w:r w:rsidR="00B479F9">
        <w:rPr>
          <w:rFonts w:ascii="Times New Roman" w:eastAsia="Times New Roman" w:hAnsi="Times New Roman" w:cs="Times New Roman"/>
          <w:b/>
          <w:sz w:val="28"/>
          <w:szCs w:val="28"/>
        </w:rPr>
        <w:t>ТО</w:t>
      </w:r>
      <w:r w:rsidR="00AB01B9">
        <w:rPr>
          <w:rFonts w:ascii="Times New Roman" w:eastAsia="Times New Roman" w:hAnsi="Times New Roman" w:cs="Times New Roman"/>
          <w:b/>
          <w:sz w:val="28"/>
          <w:szCs w:val="28"/>
        </w:rPr>
        <w:t>ВАРИСТВА З ОБМЕЖЕНОЮ ВІДПОВІДАЛЬНІСТЮ</w:t>
      </w:r>
      <w:r w:rsidR="00B479F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479F9" w:rsidRPr="00BC7270">
        <w:rPr>
          <w:rFonts w:ascii="Times New Roman" w:eastAsia="Times New Roman" w:hAnsi="Times New Roman" w:cs="Times New Roman"/>
          <w:b/>
          <w:sz w:val="28"/>
          <w:szCs w:val="28"/>
        </w:rPr>
        <w:t>«ЕНЕРДЖІ ЕКСЧЕЙНЖ СОЛЮШНС»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7087"/>
      </w:tblGrid>
      <w:tr w:rsidR="00AB01B9" w14:paraId="4B16F27A" w14:textId="77777777" w:rsidTr="00501822">
        <w:tc>
          <w:tcPr>
            <w:tcW w:w="2547" w:type="dxa"/>
          </w:tcPr>
          <w:p w14:paraId="2F84D070" w14:textId="77777777" w:rsidR="00AB01B9" w:rsidRDefault="00AB01B9" w:rsidP="005018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Критерії, яким має відповідати особа, що обирає дану комерційну пропозицію</w:t>
            </w:r>
          </w:p>
        </w:tc>
        <w:tc>
          <w:tcPr>
            <w:tcW w:w="7087" w:type="dxa"/>
          </w:tcPr>
          <w:p w14:paraId="153D154F" w14:textId="77777777" w:rsidR="00AB01B9" w:rsidRDefault="00AB01B9" w:rsidP="00501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78" w:right="101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Споживач є належним власником (користувачем) об'єкта; </w:t>
            </w:r>
          </w:p>
          <w:p w14:paraId="63672926" w14:textId="77777777" w:rsidR="00AB01B9" w:rsidRDefault="00AB01B9" w:rsidP="00501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1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наявний облік електричної енергії забезпечує можливість застосування цін (тарифів), передбачених даною комерційною пропозицією; </w:t>
            </w:r>
          </w:p>
          <w:p w14:paraId="07A29284" w14:textId="77777777" w:rsidR="00AB01B9" w:rsidRDefault="00AB01B9" w:rsidP="00501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1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Споживач приєднався до умов договору споживача про надання послуг з розподілу/передачі електричної енергії; </w:t>
            </w:r>
          </w:p>
          <w:p w14:paraId="02DB8129" w14:textId="77777777" w:rsidR="00AB01B9" w:rsidRDefault="00AB01B9" w:rsidP="00501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1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Споживач відноситься до споживачів групи А або Б;</w:t>
            </w:r>
          </w:p>
          <w:p w14:paraId="39F6C601" w14:textId="77777777" w:rsidR="00AB01B9" w:rsidRDefault="00AB01B9" w:rsidP="005018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4532A">
              <w:rPr>
                <w:rFonts w:ascii="Times New Roman" w:eastAsia="Times New Roman" w:hAnsi="Times New Roman" w:cs="Times New Roman"/>
                <w:sz w:val="24"/>
                <w:szCs w:val="24"/>
              </w:rPr>
              <w:t>- перехід прав та обов'язків до нового власника (користувача) об'єкта за договорами, укладеними відповідно до Правил роздрібного ринку електричної енергії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453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відбувається лише за згодою Постачальника</w:t>
            </w:r>
            <w:r w:rsidRPr="0014532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01B9" w14:paraId="77035A9B" w14:textId="77777777" w:rsidTr="00501822">
        <w:tc>
          <w:tcPr>
            <w:tcW w:w="2547" w:type="dxa"/>
          </w:tcPr>
          <w:p w14:paraId="4A610232" w14:textId="77777777" w:rsidR="00AB01B9" w:rsidRDefault="00AB01B9" w:rsidP="005018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Територія здійснення ліцензованої діяльності</w:t>
            </w:r>
          </w:p>
        </w:tc>
        <w:tc>
          <w:tcPr>
            <w:tcW w:w="7087" w:type="dxa"/>
          </w:tcPr>
          <w:p w14:paraId="069E03C5" w14:textId="77777777" w:rsidR="00AB01B9" w:rsidRDefault="00AB01B9" w:rsidP="00501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78" w:right="101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всій території України</w:t>
            </w:r>
          </w:p>
        </w:tc>
      </w:tr>
      <w:tr w:rsidR="00AB01B9" w:rsidRPr="005F478E" w14:paraId="0DE27047" w14:textId="77777777" w:rsidTr="00501822">
        <w:tc>
          <w:tcPr>
            <w:tcW w:w="2547" w:type="dxa"/>
          </w:tcPr>
          <w:p w14:paraId="56B7D56F" w14:textId="77777777" w:rsidR="00AB01B9" w:rsidRDefault="00AB01B9" w:rsidP="005018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Обсяг постачання електричної енергії</w:t>
            </w:r>
          </w:p>
        </w:tc>
        <w:tc>
          <w:tcPr>
            <w:tcW w:w="7087" w:type="dxa"/>
          </w:tcPr>
          <w:p w14:paraId="6583D72B" w14:textId="77777777" w:rsidR="00AB01B9" w:rsidRPr="005F478E" w:rsidRDefault="00AB01B9" w:rsidP="00501822">
            <w:pPr>
              <w:ind w:firstLine="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Споживач для купівлі електричної енергії як товарної продукції до 20 (двадцятого) числа місяця, що передує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місяцю постачання</w:t>
            </w:r>
            <w:r w:rsidRPr="005F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складає Заявку на закупівлю електричної енергії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довільною формою, в якій вказується прогнозований обсяг споживання у місяці постачання,</w:t>
            </w:r>
            <w:r w:rsidRPr="005F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надсилає її з накладенням КЕП або у сканованому вигляді на електронну пошту Постачальника з подальшим надісланням паперових оригіналів на адресу листування Постачальника.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Якщо така Заявка Споживачем не надсилається, обсяги споживання в місяці постачання розраховуються відповідно до відомостей, зазначених Споживачем у «Заявлених (планових) обсягах постачання електричної енергії Споживачу» (річна), які є Додатком № 3 до Договору.</w:t>
            </w:r>
          </w:p>
        </w:tc>
      </w:tr>
      <w:tr w:rsidR="00AB01B9" w14:paraId="26F47678" w14:textId="77777777" w:rsidTr="00501822">
        <w:tc>
          <w:tcPr>
            <w:tcW w:w="2547" w:type="dxa"/>
          </w:tcPr>
          <w:p w14:paraId="42FA1D99" w14:textId="77777777" w:rsidR="00AB01B9" w:rsidRDefault="00AB01B9" w:rsidP="005018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Спосіб оплати за передачу електричної енергії</w:t>
            </w:r>
          </w:p>
        </w:tc>
        <w:tc>
          <w:tcPr>
            <w:tcW w:w="7087" w:type="dxa"/>
          </w:tcPr>
          <w:p w14:paraId="104E4D34" w14:textId="77777777" w:rsidR="00AB01B9" w:rsidRDefault="00AB01B9" w:rsidP="00501822">
            <w:pPr>
              <w:ind w:firstLine="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Здійснюється Постачальником за дорученням та за рахунок Споживача. </w:t>
            </w:r>
          </w:p>
        </w:tc>
      </w:tr>
      <w:tr w:rsidR="00AB01B9" w14:paraId="391B3E01" w14:textId="77777777" w:rsidTr="00501822">
        <w:tc>
          <w:tcPr>
            <w:tcW w:w="2547" w:type="dxa"/>
          </w:tcPr>
          <w:p w14:paraId="0B71A460" w14:textId="77777777" w:rsidR="00AB01B9" w:rsidRDefault="00AB01B9" w:rsidP="005018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Спосіб оплати послуг з розподілу електричної енергії</w:t>
            </w:r>
          </w:p>
        </w:tc>
        <w:tc>
          <w:tcPr>
            <w:tcW w:w="7087" w:type="dxa"/>
          </w:tcPr>
          <w:p w14:paraId="21BBB4FE" w14:textId="77777777" w:rsidR="00AB01B9" w:rsidRDefault="00AB01B9" w:rsidP="00501822">
            <w:pPr>
              <w:ind w:firstLine="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дійснюється Споживачем</w:t>
            </w: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Оператору системи розподілу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самостійно</w:t>
            </w: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B01B9" w14:paraId="418C0E92" w14:textId="77777777" w:rsidTr="00501822">
        <w:tc>
          <w:tcPr>
            <w:tcW w:w="2547" w:type="dxa"/>
          </w:tcPr>
          <w:p w14:paraId="65267C03" w14:textId="77777777" w:rsidR="00AB01B9" w:rsidRPr="009B323E" w:rsidRDefault="00AB01B9" w:rsidP="005018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323E">
              <w:rPr>
                <w:rFonts w:ascii="Times New Roman" w:hAnsi="Times New Roman" w:cs="Times New Roman"/>
                <w:sz w:val="24"/>
                <w:szCs w:val="24"/>
              </w:rPr>
              <w:t xml:space="preserve">Можливість постачання </w:t>
            </w:r>
            <w:r w:rsidRPr="009B3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захищеним Споживачам:</w:t>
            </w:r>
          </w:p>
        </w:tc>
        <w:tc>
          <w:tcPr>
            <w:tcW w:w="7087" w:type="dxa"/>
          </w:tcPr>
          <w:p w14:paraId="10705C27" w14:textId="77777777" w:rsidR="00AB01B9" w:rsidRDefault="00AB01B9" w:rsidP="00501822">
            <w:pPr>
              <w:ind w:firstLine="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 постачається</w:t>
            </w:r>
          </w:p>
        </w:tc>
      </w:tr>
      <w:tr w:rsidR="00AB01B9" w14:paraId="4198D7DF" w14:textId="77777777" w:rsidTr="00501822">
        <w:tc>
          <w:tcPr>
            <w:tcW w:w="2547" w:type="dxa"/>
          </w:tcPr>
          <w:p w14:paraId="3517DF0A" w14:textId="77777777" w:rsidR="00AB01B9" w:rsidRPr="00181BE0" w:rsidRDefault="00AB01B9" w:rsidP="005018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3957">
              <w:rPr>
                <w:rFonts w:ascii="Times New Roman" w:hAnsi="Times New Roman" w:cs="Times New Roman"/>
                <w:sz w:val="24"/>
                <w:szCs w:val="24"/>
              </w:rPr>
              <w:t xml:space="preserve">Оплата за резервування обсягу електричної енергії на покриття аварійної броні та екологічної броні </w:t>
            </w:r>
          </w:p>
        </w:tc>
        <w:tc>
          <w:tcPr>
            <w:tcW w:w="7087" w:type="dxa"/>
          </w:tcPr>
          <w:p w14:paraId="6FD460F7" w14:textId="77777777" w:rsidR="00AB01B9" w:rsidRDefault="00AB01B9" w:rsidP="00501822">
            <w:pPr>
              <w:ind w:firstLine="3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DA3957">
              <w:rPr>
                <w:rFonts w:ascii="Times New Roman" w:hAnsi="Times New Roman" w:cs="Times New Roman"/>
                <w:sz w:val="24"/>
                <w:szCs w:val="24"/>
              </w:rPr>
              <w:t xml:space="preserve"> включається до попередньої оплати і оплачується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Споживачем</w:t>
            </w:r>
            <w:r w:rsidRPr="00DA3957">
              <w:rPr>
                <w:rFonts w:ascii="Times New Roman" w:hAnsi="Times New Roman" w:cs="Times New Roman"/>
                <w:sz w:val="24"/>
                <w:szCs w:val="24"/>
              </w:rPr>
              <w:t xml:space="preserve"> окремо до початку розрахункового періоду авансовим платежем, сума якого визначається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Споживачем</w:t>
            </w:r>
            <w:r w:rsidRPr="00DA3957">
              <w:rPr>
                <w:rFonts w:ascii="Times New Roman" w:hAnsi="Times New Roman" w:cs="Times New Roman"/>
                <w:sz w:val="24"/>
                <w:szCs w:val="24"/>
              </w:rPr>
              <w:t xml:space="preserve"> самостійно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01B9" w:rsidRPr="00181BE0" w14:paraId="6FBD8E90" w14:textId="77777777" w:rsidTr="00501822">
        <w:tc>
          <w:tcPr>
            <w:tcW w:w="2547" w:type="dxa"/>
          </w:tcPr>
          <w:p w14:paraId="1F9E4E78" w14:textId="77777777" w:rsidR="00AB01B9" w:rsidRPr="00181BE0" w:rsidRDefault="00AB01B9" w:rsidP="005018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Ціна на постачання електричної енергії</w:t>
            </w:r>
          </w:p>
        </w:tc>
        <w:tc>
          <w:tcPr>
            <w:tcW w:w="7087" w:type="dxa"/>
          </w:tcPr>
          <w:p w14:paraId="17351DE0" w14:textId="77777777" w:rsidR="00AB01B9" w:rsidRDefault="00AB01B9" w:rsidP="0050182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Ціна на електричну енергію (грн за 1 кВт*год, без ПДВ) для періоду постачання.</w:t>
            </w:r>
          </w:p>
          <w:p w14:paraId="6BC7CA67" w14:textId="77777777" w:rsidR="00AB01B9" w:rsidRPr="00011C23" w:rsidRDefault="00AB01B9" w:rsidP="00501822">
            <w:pPr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C23">
              <w:rPr>
                <w:rFonts w:ascii="Times New Roman" w:eastAsia="Times New Roman" w:hAnsi="Times New Roman" w:cs="Times New Roman"/>
                <w:sz w:val="24"/>
                <w:szCs w:val="24"/>
              </w:rPr>
              <w:t>До ціни (</w:t>
            </w:r>
            <w:proofErr w:type="spellStart"/>
            <w:r w:rsidRPr="00011C23">
              <w:rPr>
                <w:rFonts w:ascii="Times New Roman" w:eastAsia="Times New Roman" w:hAnsi="Times New Roman" w:cs="Times New Roman"/>
                <w:sz w:val="24"/>
                <w:szCs w:val="24"/>
              </w:rPr>
              <w:t>Цр</w:t>
            </w:r>
            <w:proofErr w:type="spellEnd"/>
            <w:r w:rsidRPr="00011C23">
              <w:rPr>
                <w:rFonts w:ascii="Times New Roman" w:eastAsia="Times New Roman" w:hAnsi="Times New Roman" w:cs="Times New Roman"/>
                <w:sz w:val="24"/>
                <w:szCs w:val="24"/>
              </w:rPr>
              <w:t>) включаються всі витрати Постачальника, і вона складається із таких  компонентів:</w:t>
            </w:r>
          </w:p>
          <w:p w14:paraId="6AACBBD0" w14:textId="77777777" w:rsidR="00AB01B9" w:rsidRPr="00011C23" w:rsidRDefault="00AB01B9" w:rsidP="0050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lowKashid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1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Цр</w:t>
            </w:r>
            <w:proofErr w:type="spellEnd"/>
            <w:r w:rsidRPr="00011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= </w:t>
            </w:r>
            <w:proofErr w:type="spellStart"/>
            <w:r w:rsidRPr="00011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Цфікс</w:t>
            </w:r>
            <w:proofErr w:type="spellEnd"/>
            <w:r w:rsidRPr="00011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* К + </w:t>
            </w:r>
            <w:proofErr w:type="spellStart"/>
            <w:r w:rsidRPr="00011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Цосп</w:t>
            </w:r>
            <w:proofErr w:type="spellEnd"/>
            <w:r w:rsidRPr="00011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 w:rsidRPr="00011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Цпост</w:t>
            </w:r>
            <w:proofErr w:type="spellEnd"/>
            <w:r w:rsidRPr="00011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де: </w:t>
            </w:r>
          </w:p>
          <w:p w14:paraId="7FAE1810" w14:textId="77777777" w:rsidR="00AB01B9" w:rsidRPr="00011C23" w:rsidRDefault="00AB01B9" w:rsidP="0050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lowKashid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1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Цфікс</w:t>
            </w:r>
            <w:proofErr w:type="spellEnd"/>
            <w:r w:rsidRPr="00011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011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узгоджена</w:t>
            </w:r>
            <w:proofErr w:type="spellEnd"/>
            <w:r w:rsidRPr="00011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011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сторонами фіксована ціна на затверджений в комерційній пропозиції період, що складає </w:t>
            </w:r>
            <w:r w:rsidRPr="005622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ru-RU"/>
              </w:rPr>
              <w:t>9</w:t>
            </w:r>
            <w:r w:rsidRPr="00011C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  <w:t>,</w:t>
            </w:r>
            <w:r w:rsidRPr="00011C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lang w:val="ru-RU"/>
              </w:rPr>
              <w:t>91</w:t>
            </w:r>
            <w:r w:rsidRPr="00DE1AE9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011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грн/кВт год.</w:t>
            </w:r>
          </w:p>
          <w:p w14:paraId="54DE2788" w14:textId="77777777" w:rsidR="00AB01B9" w:rsidRPr="00011C23" w:rsidRDefault="00AB01B9" w:rsidP="0050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lowKashid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 – коефіцієнт, який враховує прогнозні витрати (регульовані та фіксовані платежі, інші платежі тощо) Постачальника для забезпечення діяльності на організованих сегментах ринку (ринку «на добу наперед», внутрішньодобового ринку, балансуючому ринку тощо). </w:t>
            </w:r>
          </w:p>
          <w:p w14:paraId="699F60D9" w14:textId="77777777" w:rsidR="00AB01B9" w:rsidRPr="00011C23" w:rsidRDefault="00AB01B9" w:rsidP="0050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lowKashid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1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Цосп</w:t>
            </w:r>
            <w:proofErr w:type="spellEnd"/>
            <w:r w:rsidRPr="00011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ціна (тариф) послуг оператора системи передачі (ціна регульованих послуг), грн/кВт*год;</w:t>
            </w:r>
          </w:p>
          <w:p w14:paraId="225359DF" w14:textId="77777777" w:rsidR="00AB01B9" w:rsidRPr="00954569" w:rsidRDefault="00AB01B9" w:rsidP="0050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lowKashid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1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Цпост</w:t>
            </w:r>
            <w:proofErr w:type="spellEnd"/>
            <w:r w:rsidRPr="00011C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ціна додаткових послуг, пов’язаних з постачанням електричної енергії споживачу, що складає 0,06 грн/кВт*год.</w:t>
            </w:r>
          </w:p>
          <w:p w14:paraId="72AB8F35" w14:textId="77777777" w:rsidR="00AB01B9" w:rsidRDefault="00AB01B9" w:rsidP="0050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Додатково нараховується ПДВ.</w:t>
            </w:r>
          </w:p>
          <w:p w14:paraId="3AA1E43B" w14:textId="77777777" w:rsidR="00AB01B9" w:rsidRPr="00181BE0" w:rsidRDefault="00AB01B9" w:rsidP="0050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5C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 разі зміни складових ціни на електричну енергію внаслідок внесення змін до законодавства або прийняття нового законодавства, що впливає на порядок формування або розмір ціни; зміни (у т. ч. збільшення) державних регульованих цін, що включені в ціну на електроенергію, коливання курсу іноземної валюти, інфляції або будь-які інші зміни складових ціни, що не залежать від Постачальника, - в періоді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AC5C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наступному за розрахунковим, проводиться перерахунок вартості електричної енергії без додаткового узгодження 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 Споживачем</w:t>
            </w:r>
            <w:r w:rsidRPr="00AC5C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Порядок формування ціни, встановлений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цьому пункті</w:t>
            </w:r>
            <w:r w:rsidRPr="00AC5C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AC5C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омерційної пропозиції, може бути змінений. Про зміну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Споживач</w:t>
            </w:r>
            <w:r w:rsidRPr="00AC5C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буде повідомлений не пізніше, ніж за 20 днів до дати початку дії таких змін, шляхом офіційного оприлюднення на веб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C5C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сайті Постачальника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та/або</w:t>
            </w:r>
            <w:r w:rsidRPr="00AC5C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AC5C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овідомлення про зміни до комерційної пропозиції та викладення її в новій редакції (якщо комерційна пропозиція публічна)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та/</w:t>
            </w:r>
            <w:r w:rsidRPr="00AC5C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або індивідуального направлення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Споживачу</w:t>
            </w:r>
            <w:r w:rsidRPr="00AC5C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Повідомлення про зміни до комерційної пропозиції та викладення її в новій редакції</w:t>
            </w:r>
            <w:r w:rsidRPr="002F19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AC5C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Ненадання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Споживачем </w:t>
            </w:r>
            <w:r w:rsidRPr="00AC5C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Постачальнику письмових заперечень проти продовження договірних відносин на умовах комерційної пропозиції в новій редакції та продовження фактичного споживання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Споживачем</w:t>
            </w:r>
            <w:r w:rsidRPr="00AC5C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електричної енергії засвідчує факт погодження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Споживача</w:t>
            </w:r>
            <w:r w:rsidRPr="00AC5C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 комерційною пропозицією в новій редакції та прийняттям на себе нових (змінених) зобов’язальних умов. Постачальник повідомляє, що Споживач при будь-якому збільшенні ціни (збільшені ціни у комерційній пропозиції в новій редакції) має право після її оприлюднення або отримання Повідомлення про це від Постачальника припинити дію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AC5C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оговору без сплати будь-яких штрафних санкцій чи іншої фінансової компенсації Постачальнику, якщо Споживач не приймає нові умови.</w:t>
            </w:r>
          </w:p>
        </w:tc>
      </w:tr>
      <w:tr w:rsidR="00AB01B9" w:rsidRPr="00181BE0" w14:paraId="424AADF9" w14:textId="77777777" w:rsidTr="00501822">
        <w:tc>
          <w:tcPr>
            <w:tcW w:w="2547" w:type="dxa"/>
          </w:tcPr>
          <w:p w14:paraId="56131010" w14:textId="77777777" w:rsidR="00AB01B9" w:rsidRPr="00181BE0" w:rsidRDefault="00AB01B9" w:rsidP="005018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Термін надання рахунку за спожиту електричну енергію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Акту купівлі-продажу електричної енергії</w:t>
            </w: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та строк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оплати</w:t>
            </w:r>
          </w:p>
        </w:tc>
        <w:tc>
          <w:tcPr>
            <w:tcW w:w="7087" w:type="dxa"/>
          </w:tcPr>
          <w:p w14:paraId="345C296E" w14:textId="77777777" w:rsidR="00AB01B9" w:rsidRDefault="00AB01B9" w:rsidP="00501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76A7">
              <w:rPr>
                <w:rFonts w:ascii="Times New Roman" w:hAnsi="Times New Roman" w:cs="Times New Roman"/>
                <w:sz w:val="24"/>
                <w:szCs w:val="24"/>
              </w:rPr>
              <w:t>Постачальник зобов’яз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776A7">
              <w:rPr>
                <w:rFonts w:ascii="Times New Roman" w:hAnsi="Times New Roman" w:cs="Times New Roman"/>
                <w:sz w:val="24"/>
                <w:szCs w:val="24"/>
              </w:rPr>
              <w:t xml:space="preserve">ється до 15 числа (включно) місяця, наступного за місяцем постачання, направити на електронну пошту Споживача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Рахунок та </w:t>
            </w:r>
            <w:r w:rsidRPr="009776A7">
              <w:rPr>
                <w:rFonts w:ascii="Times New Roman" w:hAnsi="Times New Roman" w:cs="Times New Roman"/>
                <w:sz w:val="24"/>
                <w:szCs w:val="24"/>
              </w:rPr>
              <w:t>Акт купівлі-продажу електричної енергії за період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постачання</w:t>
            </w:r>
            <w:r w:rsidRPr="009776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bookmarkStart w:id="0" w:name="_heading=h.gjdgxs" w:colFirst="0" w:colLast="0"/>
            <w:bookmarkEnd w:id="0"/>
          </w:p>
          <w:p w14:paraId="4EAE1EDA" w14:textId="77777777" w:rsidR="00AB01B9" w:rsidRDefault="00AB01B9" w:rsidP="00501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Рахунок на сплату додаткового обсягу спожитої електричної енергії у випадку коригування даних адміністратором комерційного обліку та/або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опреатором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ситеми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передачі/розподілу може бути виставлено окремо.</w:t>
            </w:r>
          </w:p>
          <w:p w14:paraId="08E26C63" w14:textId="77777777" w:rsidR="00AB01B9" w:rsidRDefault="00AB01B9" w:rsidP="00501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Строк оплати рахунка - 5 (п`ять) календарних днів з дня його отримання Споживачем.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164C79C" w14:textId="77777777" w:rsidR="00AB01B9" w:rsidRPr="00181BE0" w:rsidRDefault="00AB01B9" w:rsidP="00501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right="1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01B9" w:rsidRPr="002F197F" w14:paraId="55E8F0A7" w14:textId="77777777" w:rsidTr="00501822">
        <w:tc>
          <w:tcPr>
            <w:tcW w:w="2547" w:type="dxa"/>
          </w:tcPr>
          <w:p w14:paraId="4600FE80" w14:textId="77777777" w:rsidR="00AB01B9" w:rsidRPr="0024177E" w:rsidRDefault="00AB01B9" w:rsidP="005018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1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Спосіб оплати</w:t>
            </w:r>
          </w:p>
        </w:tc>
        <w:tc>
          <w:tcPr>
            <w:tcW w:w="7087" w:type="dxa"/>
          </w:tcPr>
          <w:p w14:paraId="2F30548F" w14:textId="77777777" w:rsidR="00AB01B9" w:rsidRPr="0024177E" w:rsidRDefault="00AB01B9" w:rsidP="00501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ind w:left="1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1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Оплата заявленого обсягу електричної енергії здійснюється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 грошовій формі </w:t>
            </w:r>
            <w:r w:rsidRPr="00241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шляхом планових платежів середньодобового обсягу споживання електричної енергії, що визначається як частка вартості заявленого обсягу та кількості днів 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періоді постачання (</w:t>
            </w:r>
            <w:r w:rsidRPr="00241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місяці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241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(далі – заявлена середньодобова вартість):</w:t>
            </w:r>
          </w:p>
          <w:p w14:paraId="6C28C68A" w14:textId="77777777" w:rsidR="00AB01B9" w:rsidRPr="0024177E" w:rsidRDefault="00AB01B9" w:rsidP="00501822">
            <w:pPr>
              <w:pStyle w:val="a8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ind w:left="111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  <w:r w:rsidRPr="00241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 вартості не пізніше ніж за 5 календарних днів до дати початку розрахункового періоду;</w:t>
            </w:r>
          </w:p>
          <w:p w14:paraId="73559F1B" w14:textId="77777777" w:rsidR="00AB01B9" w:rsidRPr="0024177E" w:rsidRDefault="00AB01B9" w:rsidP="00501822">
            <w:pPr>
              <w:pStyle w:val="a8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ind w:left="111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1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Остаточний розрахунок протягом 5 календарних днів після підписання/</w:t>
            </w:r>
            <w:proofErr w:type="spellStart"/>
            <w:r w:rsidRPr="00241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автоприйняття</w:t>
            </w:r>
            <w:proofErr w:type="spellEnd"/>
            <w:r w:rsidRPr="00241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Акту;</w:t>
            </w:r>
          </w:p>
          <w:p w14:paraId="36C5BC21" w14:textId="77777777" w:rsidR="00AB01B9" w:rsidRPr="0024177E" w:rsidRDefault="00AB01B9" w:rsidP="00501822">
            <w:pPr>
              <w:pStyle w:val="a8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ind w:left="111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1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Розмір попередньої оплати визначається на підставі прогнозованих (заявлених) обсягів споживання електричної енергії на період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постачання</w:t>
            </w:r>
            <w:r w:rsidRPr="00241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ACF186D" w14:textId="77777777" w:rsidR="00AB01B9" w:rsidRPr="002F197F" w:rsidRDefault="00AB01B9" w:rsidP="00501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ind w:left="1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B01B9" w:rsidRPr="007D38E0" w14:paraId="6BC4F52E" w14:textId="77777777" w:rsidTr="00501822">
        <w:tc>
          <w:tcPr>
            <w:tcW w:w="2547" w:type="dxa"/>
          </w:tcPr>
          <w:p w14:paraId="64651573" w14:textId="77777777" w:rsidR="00AB01B9" w:rsidRPr="00181BE0" w:rsidRDefault="00AB01B9" w:rsidP="00501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22" w:firstLine="8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Переплата Споживача </w:t>
            </w:r>
          </w:p>
        </w:tc>
        <w:tc>
          <w:tcPr>
            <w:tcW w:w="7087" w:type="dxa"/>
          </w:tcPr>
          <w:p w14:paraId="14F4D45E" w14:textId="77777777" w:rsidR="00AB01B9" w:rsidRPr="007D38E0" w:rsidRDefault="00AB01B9" w:rsidP="00501822">
            <w:pPr>
              <w:ind w:left="17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38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 випадку переплати за фактично спожитий обсяг електричної енергії сума переплати зараховується як:</w:t>
            </w:r>
          </w:p>
          <w:p w14:paraId="0F83C9BB" w14:textId="77777777" w:rsidR="00AB01B9" w:rsidRPr="007D38E0" w:rsidRDefault="00AB01B9" w:rsidP="00501822">
            <w:pPr>
              <w:pStyle w:val="a8"/>
              <w:numPr>
                <w:ilvl w:val="0"/>
                <w:numId w:val="3"/>
              </w:numPr>
              <w:ind w:left="178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38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погашення заборгованості за попередній період, включаючи сплату неустойки;</w:t>
            </w:r>
          </w:p>
          <w:p w14:paraId="4DDECB85" w14:textId="77777777" w:rsidR="00AB01B9" w:rsidRPr="007D38E0" w:rsidRDefault="00AB01B9" w:rsidP="00501822">
            <w:pPr>
              <w:pStyle w:val="a8"/>
              <w:numPr>
                <w:ilvl w:val="0"/>
                <w:numId w:val="3"/>
              </w:numPr>
              <w:ind w:left="178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38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авансовий платіж за спожиту електричну енергію в наступних періодах;</w:t>
            </w:r>
          </w:p>
          <w:p w14:paraId="77329D2E" w14:textId="77777777" w:rsidR="00AB01B9" w:rsidRPr="007D38E0" w:rsidRDefault="00AB01B9" w:rsidP="00501822">
            <w:pPr>
              <w:pStyle w:val="a8"/>
              <w:numPr>
                <w:ilvl w:val="0"/>
                <w:numId w:val="3"/>
              </w:numPr>
              <w:ind w:left="178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38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повертається на поточний рахунок Споживача за його письмовою вимогою протягом 5 (п’яти) банківських днів з дня </w:t>
            </w:r>
            <w:r w:rsidRPr="007D38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отримання такої вимоги, за умови наявності узгодженого Акту звіряння та відсутності заборгованості за попередні періоди, включаючи сплату неустойки.</w:t>
            </w:r>
          </w:p>
        </w:tc>
      </w:tr>
      <w:tr w:rsidR="00AB01B9" w:rsidRPr="0024177E" w14:paraId="1AAFF4C9" w14:textId="77777777" w:rsidTr="00501822">
        <w:tc>
          <w:tcPr>
            <w:tcW w:w="2547" w:type="dxa"/>
          </w:tcPr>
          <w:p w14:paraId="7DFECF22" w14:textId="77777777" w:rsidR="00AB01B9" w:rsidRPr="0024177E" w:rsidRDefault="00AB01B9" w:rsidP="00501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22" w:firstLine="8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41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Толеранс</w:t>
            </w:r>
          </w:p>
        </w:tc>
        <w:tc>
          <w:tcPr>
            <w:tcW w:w="7087" w:type="dxa"/>
          </w:tcPr>
          <w:p w14:paraId="335D3B12" w14:textId="77777777" w:rsidR="00AB01B9" w:rsidRPr="0024177E" w:rsidRDefault="00AB01B9" w:rsidP="00501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  <w:r w:rsidRPr="00241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41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241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proofErr w:type="gramEnd"/>
          </w:p>
        </w:tc>
      </w:tr>
      <w:tr w:rsidR="00AB01B9" w:rsidRPr="0024177E" w14:paraId="72B85AB9" w14:textId="77777777" w:rsidTr="00501822">
        <w:tc>
          <w:tcPr>
            <w:tcW w:w="2547" w:type="dxa"/>
          </w:tcPr>
          <w:p w14:paraId="6B4E954A" w14:textId="77777777" w:rsidR="00AB01B9" w:rsidRPr="0024177E" w:rsidRDefault="00AB01B9" w:rsidP="00501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22" w:firstLine="8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4177E">
              <w:rPr>
                <w:rFonts w:ascii="Times New Roman" w:hAnsi="Times New Roman" w:cs="Times New Roman"/>
                <w:sz w:val="24"/>
                <w:szCs w:val="24"/>
              </w:rPr>
              <w:t>Донарахування за невідповідність заявленим обсягам споживання</w:t>
            </w:r>
          </w:p>
        </w:tc>
        <w:tc>
          <w:tcPr>
            <w:tcW w:w="7087" w:type="dxa"/>
          </w:tcPr>
          <w:p w14:paraId="40C222A8" w14:textId="77777777" w:rsidR="00AB01B9" w:rsidRPr="0024177E" w:rsidRDefault="00AB01B9" w:rsidP="00501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177E">
              <w:rPr>
                <w:rFonts w:ascii="Times New Roman" w:hAnsi="Times New Roman" w:cs="Times New Roman"/>
                <w:sz w:val="24"/>
                <w:szCs w:val="24"/>
              </w:rPr>
              <w:t>У разі, якщо відхилення (збільшення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або зменшення</w:t>
            </w:r>
            <w:r w:rsidRPr="0024177E">
              <w:rPr>
                <w:rFonts w:ascii="Times New Roman" w:hAnsi="Times New Roman" w:cs="Times New Roman"/>
                <w:sz w:val="24"/>
                <w:szCs w:val="24"/>
              </w:rPr>
              <w:t>) фактичних обсягів споживання від заявлених, то на величину обсягів відхилення нараховується додаткові штрафні нарахування (штрафні санкції). Сума нарахування розраховується шляхом множення величин відхилення на ціну, визначену відповідно до формули, наведеної у цій Комерційної пропозиції в розділі «Ціна електричної енергії», з урахуванням коефіцієнту 1,30.</w:t>
            </w:r>
          </w:p>
        </w:tc>
      </w:tr>
      <w:tr w:rsidR="00AB01B9" w:rsidRPr="007D38E0" w14:paraId="4BB02180" w14:textId="77777777" w:rsidTr="00501822">
        <w:tc>
          <w:tcPr>
            <w:tcW w:w="2547" w:type="dxa"/>
          </w:tcPr>
          <w:p w14:paraId="257D674A" w14:textId="77777777" w:rsidR="00AB01B9" w:rsidRPr="00181BE0" w:rsidRDefault="00AB01B9" w:rsidP="00501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22" w:firstLine="8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Звіряння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фактичного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обсягу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поставленої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спожитої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електричної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енергії</w:t>
            </w:r>
            <w:proofErr w:type="spellEnd"/>
          </w:p>
        </w:tc>
        <w:tc>
          <w:tcPr>
            <w:tcW w:w="7087" w:type="dxa"/>
          </w:tcPr>
          <w:p w14:paraId="56F053EE" w14:textId="77777777" w:rsidR="00AB01B9" w:rsidRDefault="00AB01B9" w:rsidP="00501822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8E0">
              <w:rPr>
                <w:rFonts w:ascii="Times New Roman" w:hAnsi="Times New Roman" w:cs="Times New Roman"/>
                <w:sz w:val="24"/>
                <w:szCs w:val="24"/>
              </w:rPr>
              <w:t xml:space="preserve">Постачальник здійснює зі Споживачем звіряння фактичного обсягу спожитої електричної енергії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вимогу Споживача</w:t>
            </w:r>
            <w:r w:rsidRPr="007D38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CD0A754" w14:textId="77777777" w:rsidR="00AB01B9" w:rsidRPr="007D38E0" w:rsidRDefault="00AB01B9" w:rsidP="00501822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8E0">
              <w:rPr>
                <w:rFonts w:ascii="Times New Roman" w:hAnsi="Times New Roman" w:cs="Times New Roman"/>
                <w:sz w:val="24"/>
                <w:szCs w:val="24"/>
              </w:rPr>
              <w:t>При закритті фактичного обсягу купленої електричної енергії пріоритетною інформацією є обсяг електричної енергії, підтверджений відповідним Оператором системи розподілу/передачі.</w:t>
            </w:r>
          </w:p>
        </w:tc>
      </w:tr>
      <w:tr w:rsidR="00AB01B9" w:rsidRPr="00181BE0" w14:paraId="27178A95" w14:textId="77777777" w:rsidTr="00501822">
        <w:trPr>
          <w:trHeight w:val="2189"/>
        </w:trPr>
        <w:tc>
          <w:tcPr>
            <w:tcW w:w="2547" w:type="dxa"/>
          </w:tcPr>
          <w:p w14:paraId="3F01F920" w14:textId="77777777" w:rsidR="00AB01B9" w:rsidRPr="00181BE0" w:rsidRDefault="00AB01B9" w:rsidP="00501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firstLine="1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Розмір пені за порушення</w:t>
            </w:r>
          </w:p>
          <w:p w14:paraId="49BF215B" w14:textId="77777777" w:rsidR="00AB01B9" w:rsidRPr="00181BE0" w:rsidRDefault="00AB01B9" w:rsidP="005018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строку оплати або штраф</w:t>
            </w:r>
          </w:p>
        </w:tc>
        <w:tc>
          <w:tcPr>
            <w:tcW w:w="7087" w:type="dxa"/>
          </w:tcPr>
          <w:p w14:paraId="446F8D01" w14:textId="77777777" w:rsidR="00AB01B9" w:rsidRDefault="00AB01B9" w:rsidP="00501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 порушення термінів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розрахунків</w:t>
            </w: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Постачальник має право нарахувати Споживачу пеню у розмірі подвійн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ої</w:t>
            </w: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обліков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ої</w:t>
            </w: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ставк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НБУ за кожен день прострочення платежу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а також </w:t>
            </w: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3% річних від суми боргу за кожен день прострочення платежу та інфляційні нарахування. </w:t>
            </w:r>
          </w:p>
          <w:p w14:paraId="06813D41" w14:textId="77777777" w:rsidR="00AB01B9" w:rsidRPr="00181BE0" w:rsidRDefault="00AB01B9" w:rsidP="0050182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Строк сплати неустойки складає 5 календарних днів з дня отримання вимоги про сплату від Постачальника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 електронну пошту Споживача</w:t>
            </w: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B01B9" w:rsidRPr="00514354" w14:paraId="74455C13" w14:textId="77777777" w:rsidTr="00501822">
        <w:tc>
          <w:tcPr>
            <w:tcW w:w="2547" w:type="dxa"/>
          </w:tcPr>
          <w:p w14:paraId="4D2C30CC" w14:textId="77777777" w:rsidR="00AB01B9" w:rsidRDefault="00AB01B9" w:rsidP="00501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Урахування пільг, субсидій</w:t>
            </w:r>
          </w:p>
        </w:tc>
        <w:tc>
          <w:tcPr>
            <w:tcW w:w="7087" w:type="dxa"/>
          </w:tcPr>
          <w:p w14:paraId="3358E491" w14:textId="77777777" w:rsidR="00AB01B9" w:rsidRPr="00514354" w:rsidRDefault="00AB01B9" w:rsidP="00501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 здійснюється</w:t>
            </w:r>
          </w:p>
        </w:tc>
      </w:tr>
      <w:tr w:rsidR="00AB01B9" w:rsidRPr="002672FB" w14:paraId="3FF7999C" w14:textId="77777777" w:rsidTr="00501822">
        <w:trPr>
          <w:trHeight w:val="70"/>
        </w:trPr>
        <w:tc>
          <w:tcPr>
            <w:tcW w:w="2547" w:type="dxa"/>
          </w:tcPr>
          <w:p w14:paraId="23EA3718" w14:textId="77777777" w:rsidR="00AB01B9" w:rsidRPr="00181BE0" w:rsidRDefault="00AB01B9" w:rsidP="005018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Термін дії договору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порядок його розірвання</w:t>
            </w:r>
          </w:p>
        </w:tc>
        <w:tc>
          <w:tcPr>
            <w:tcW w:w="7087" w:type="dxa"/>
          </w:tcPr>
          <w:p w14:paraId="6B5066A9" w14:textId="77777777" w:rsidR="00AB01B9" w:rsidRDefault="00AB01B9" w:rsidP="00501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>Договір про постачання електричної енергії Споживачу набирає чинності з дати, вказаної у Заяві-приєд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нанні, та діє до «__» _______ 202_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р.,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оновленими умовами, вказаними у Цій Комерційній Пропозиції (у редакції станом на __ _______ 202_ р.), що вступають в силу з _ ______ 202_ року, 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а в частині розрахунків (в </w:t>
            </w:r>
            <w:proofErr w:type="spellStart"/>
            <w:r w:rsidRPr="002672F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. повної оплати заборгованості, включаючи нарахування пені та штрафні санкції)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оговір діє до повного їх виконання.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Дія Договору може бути продовжена шляхом підписання Комерційної пропозиції у новій редакції. </w:t>
            </w:r>
          </w:p>
          <w:p w14:paraId="067F6486" w14:textId="77777777" w:rsidR="00AB01B9" w:rsidRDefault="00AB01B9" w:rsidP="00501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Постачальник має право в односторонньому порядку розірвати Договір достроково, повідомивши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Споживача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 про це письмово за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 до передбачуваної дати розірвання (припинення) договору, у випадках якщо: </w:t>
            </w:r>
          </w:p>
          <w:p w14:paraId="6040175C" w14:textId="77777777" w:rsidR="00AB01B9" w:rsidRDefault="00AB01B9" w:rsidP="00501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Споживач 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прострочив оплату за постачання електричної енергії згідно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оговором, за умови, що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остачальник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направив 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попередження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Споживачу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 про можливе розірвання цього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оговору; </w:t>
            </w:r>
          </w:p>
          <w:p w14:paraId="15CD047C" w14:textId="77777777" w:rsidR="00AB01B9" w:rsidRDefault="00AB01B9" w:rsidP="00501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Споживач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 іншим чином суттєво порушив умови цього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оговору, і не вжив заходів щодо усунення такого порушення в строк, що становить 10 (десять) робочих днів. </w:t>
            </w:r>
          </w:p>
          <w:p w14:paraId="7531B746" w14:textId="77777777" w:rsidR="00AB01B9" w:rsidRDefault="00AB01B9" w:rsidP="00501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Припинення дії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оговору в такому разі здійснюється в односторонньому порядку, без необхідності отримання згоди на це від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Споживача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>, через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 з моменту направлення Постачальником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Споживачу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 Повідомлення про припинення договору у зв`язку з обставинами, зазначеними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цьому пункті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 Комерційної пропозиції. </w:t>
            </w:r>
          </w:p>
          <w:p w14:paraId="0F50FB68" w14:textId="77777777" w:rsidR="00AB01B9" w:rsidRDefault="00AB01B9" w:rsidP="00501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До передбачуваної дати розірвання (припинення)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>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>Постачальник повідомляє про це відповідного Оператора системи та АКО. Дія цього Договору також припиняється у наступних випадках: анулювання ліцензії Постачальника на постачання, банкрутства або припинення господарської діяльності Постачальника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або Споживача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0C98BBD" w14:textId="77777777" w:rsidR="00AB01B9" w:rsidRDefault="00AB01B9" w:rsidP="00501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Дія цього Договору також припиняється у випадку отримання документально підтверджених відомостей зміни власника (користувача) об'єкта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Споживача.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кщо інше не буде узгоджено додатково Сторонами, припинення дії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>оговору в такому разі, здійснюється в односторонньому порядку через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 з моменту направлення Постачальником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Споживачу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 Повідомлення про припинення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 xml:space="preserve">оговору у зв`язку з отриманням Постачальником документально підтверджених відомостей про зміну власника Об`єкту від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Споживача</w:t>
            </w: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>, або нового власника (користувача) Об`єкту.</w:t>
            </w:r>
          </w:p>
          <w:p w14:paraId="3F02AC06" w14:textId="77777777" w:rsidR="00AB01B9" w:rsidRDefault="00AB01B9" w:rsidP="0050182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2FB">
              <w:rPr>
                <w:rFonts w:ascii="Times New Roman" w:hAnsi="Times New Roman" w:cs="Times New Roman"/>
                <w:sz w:val="24"/>
                <w:szCs w:val="24"/>
              </w:rPr>
              <w:t>Дія цього Договору також припиняється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випадку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Тимчасової окупації територій, на якій знаходяться об’єкти Споживача, - з дати такої окупації, без повідомлення Постачальником Споживача.</w:t>
            </w:r>
          </w:p>
          <w:p w14:paraId="648E3E44" w14:textId="77777777" w:rsidR="00AB01B9" w:rsidRPr="002672FB" w:rsidRDefault="00AB01B9" w:rsidP="0050182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будь-якому випадку дострокове розірвання Договору з ініціативи Постачальника здійснюється відповідно до вимог та обмежень чинного на момент такого дострокового розірвання Договору законодавства.</w:t>
            </w:r>
          </w:p>
        </w:tc>
      </w:tr>
      <w:tr w:rsidR="00AB01B9" w:rsidRPr="002672FB" w14:paraId="34928EDA" w14:textId="77777777" w:rsidTr="00501822">
        <w:trPr>
          <w:trHeight w:val="70"/>
        </w:trPr>
        <w:tc>
          <w:tcPr>
            <w:tcW w:w="2547" w:type="dxa"/>
          </w:tcPr>
          <w:p w14:paraId="18CCC686" w14:textId="77777777" w:rsidR="00AB01B9" w:rsidRPr="00181BE0" w:rsidRDefault="00AB01B9" w:rsidP="005018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FE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Штрафні санкції/фінансова компенсація за дострокове припинення договору Споживачем </w:t>
            </w:r>
          </w:p>
        </w:tc>
        <w:tc>
          <w:tcPr>
            <w:tcW w:w="7087" w:type="dxa"/>
          </w:tcPr>
          <w:p w14:paraId="02E8B5C9" w14:textId="77777777" w:rsidR="00AB01B9" w:rsidRPr="002672FB" w:rsidRDefault="00AB01B9" w:rsidP="00501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354">
              <w:rPr>
                <w:rFonts w:ascii="Times New Roman" w:hAnsi="Times New Roman" w:cs="Times New Roman"/>
                <w:sz w:val="24"/>
                <w:szCs w:val="24"/>
              </w:rPr>
              <w:t xml:space="preserve">У разі дострокового припинення (розірвання) Договору про постачання електричної енергії за ініціативою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Споживача останній</w:t>
            </w:r>
            <w:r w:rsidRPr="00514354">
              <w:rPr>
                <w:rFonts w:ascii="Times New Roman" w:hAnsi="Times New Roman" w:cs="Times New Roman"/>
                <w:sz w:val="24"/>
                <w:szCs w:val="24"/>
              </w:rPr>
              <w:t xml:space="preserve"> зобов'язаний сплатити Постачальнику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його вимогу </w:t>
            </w:r>
            <w:r w:rsidRPr="00514354">
              <w:rPr>
                <w:rFonts w:ascii="Times New Roman" w:hAnsi="Times New Roman" w:cs="Times New Roman"/>
                <w:sz w:val="24"/>
                <w:szCs w:val="24"/>
              </w:rPr>
              <w:t xml:space="preserve">штраф у розмірі вартості електричної енергії, замовленої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Споживачем</w:t>
            </w:r>
            <w:r w:rsidRPr="00514354">
              <w:rPr>
                <w:rFonts w:ascii="Times New Roman" w:hAnsi="Times New Roman" w:cs="Times New Roman"/>
                <w:sz w:val="24"/>
                <w:szCs w:val="24"/>
              </w:rPr>
              <w:t xml:space="preserve"> як прогнозований договірний обсяг споживання в місяці, в якому Постачальником було отримано повідомлення про дострокове припинення (розірвання) договору. Прогнозований договірний обсяг споживання визначається відповідно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наданої Споживачем </w:t>
            </w:r>
            <w:r w:rsidRPr="005F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Заявки на закупівлю електричної енергії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 w:rsidRPr="005F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F4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погодинними прогнозними обсягами споживання електричної енергії</w:t>
            </w:r>
            <w:r w:rsidRPr="00514354">
              <w:rPr>
                <w:rFonts w:ascii="Times New Roman" w:hAnsi="Times New Roman" w:cs="Times New Roman"/>
                <w:sz w:val="24"/>
                <w:szCs w:val="24"/>
              </w:rPr>
              <w:t>. Штраф сплачується в тому випадку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4354">
              <w:rPr>
                <w:rFonts w:ascii="Times New Roman" w:hAnsi="Times New Roman" w:cs="Times New Roman"/>
                <w:sz w:val="24"/>
                <w:szCs w:val="24"/>
              </w:rPr>
              <w:t xml:space="preserve"> коли повідомлення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Споживача</w:t>
            </w:r>
            <w:r w:rsidRPr="00514354">
              <w:rPr>
                <w:rFonts w:ascii="Times New Roman" w:hAnsi="Times New Roman" w:cs="Times New Roman"/>
                <w:sz w:val="24"/>
                <w:szCs w:val="24"/>
              </w:rPr>
              <w:t xml:space="preserve"> про дострокове припинення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14354">
              <w:rPr>
                <w:rFonts w:ascii="Times New Roman" w:hAnsi="Times New Roman" w:cs="Times New Roman"/>
                <w:sz w:val="24"/>
                <w:szCs w:val="24"/>
              </w:rPr>
              <w:t>оговору здійснено пізніше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4354">
              <w:rPr>
                <w:rFonts w:ascii="Times New Roman" w:hAnsi="Times New Roman" w:cs="Times New Roman"/>
                <w:sz w:val="24"/>
                <w:szCs w:val="24"/>
              </w:rPr>
              <w:t xml:space="preserve"> ніж за 21 календарний день до передбачуваної дати дострокового </w:t>
            </w:r>
            <w:r w:rsidRPr="00514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припинення терміну (строку) дії чинного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14354">
              <w:rPr>
                <w:rFonts w:ascii="Times New Roman" w:hAnsi="Times New Roman" w:cs="Times New Roman"/>
                <w:sz w:val="24"/>
                <w:szCs w:val="24"/>
              </w:rPr>
              <w:t xml:space="preserve">оговору. У випадку припинення (розірвання)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14354">
              <w:rPr>
                <w:rFonts w:ascii="Times New Roman" w:hAnsi="Times New Roman" w:cs="Times New Roman"/>
                <w:sz w:val="24"/>
                <w:szCs w:val="24"/>
              </w:rPr>
              <w:t xml:space="preserve">оговору сторони домовились, що у разі звернення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Споживача</w:t>
            </w:r>
            <w:r w:rsidRPr="00514354">
              <w:rPr>
                <w:rFonts w:ascii="Times New Roman" w:hAnsi="Times New Roman" w:cs="Times New Roman"/>
                <w:sz w:val="24"/>
                <w:szCs w:val="24"/>
              </w:rPr>
              <w:t xml:space="preserve"> щодо повернення йому переплати, яка виникла за цим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14354">
              <w:rPr>
                <w:rFonts w:ascii="Times New Roman" w:hAnsi="Times New Roman" w:cs="Times New Roman"/>
                <w:sz w:val="24"/>
                <w:szCs w:val="24"/>
              </w:rPr>
              <w:t xml:space="preserve">оговором,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4354">
              <w:rPr>
                <w:rFonts w:ascii="Times New Roman" w:hAnsi="Times New Roman" w:cs="Times New Roman"/>
                <w:sz w:val="24"/>
                <w:szCs w:val="24"/>
              </w:rPr>
              <w:t>остачальник зобов’язаний повернути суму переплачених коштів не пізніше, ніж протягом 6 тижнів.</w:t>
            </w:r>
          </w:p>
        </w:tc>
      </w:tr>
      <w:tr w:rsidR="00AB01B9" w:rsidRPr="00514354" w14:paraId="403965AE" w14:textId="77777777" w:rsidTr="00501822">
        <w:trPr>
          <w:trHeight w:val="70"/>
        </w:trPr>
        <w:tc>
          <w:tcPr>
            <w:tcW w:w="2547" w:type="dxa"/>
          </w:tcPr>
          <w:p w14:paraId="757F08D3" w14:textId="77777777" w:rsidR="00AB01B9" w:rsidRPr="00E73FE7" w:rsidRDefault="00AB01B9" w:rsidP="005018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Компенсація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недотриманя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електропостачальником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комерційної якості надання послуг:</w:t>
            </w:r>
          </w:p>
        </w:tc>
        <w:tc>
          <w:tcPr>
            <w:tcW w:w="7087" w:type="dxa"/>
          </w:tcPr>
          <w:p w14:paraId="2582905F" w14:textId="77777777" w:rsidR="00AB01B9" w:rsidRPr="00A77C87" w:rsidRDefault="00AB01B9" w:rsidP="00501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Здійснюється згідно норм чинного законодавства України.</w:t>
            </w:r>
          </w:p>
          <w:p w14:paraId="1CE960F5" w14:textId="77777777" w:rsidR="00AB01B9" w:rsidRPr="00514354" w:rsidRDefault="00AB01B9" w:rsidP="00501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1B9" w:rsidRPr="00514354" w14:paraId="68B31BE9" w14:textId="77777777" w:rsidTr="00501822">
        <w:trPr>
          <w:trHeight w:val="70"/>
        </w:trPr>
        <w:tc>
          <w:tcPr>
            <w:tcW w:w="2547" w:type="dxa"/>
          </w:tcPr>
          <w:p w14:paraId="74FE9368" w14:textId="77777777" w:rsidR="00AB01B9" w:rsidRDefault="00AB01B9" w:rsidP="0050182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Інші умови</w:t>
            </w:r>
          </w:p>
        </w:tc>
        <w:tc>
          <w:tcPr>
            <w:tcW w:w="7087" w:type="dxa"/>
          </w:tcPr>
          <w:p w14:paraId="6569FCC2" w14:textId="77777777" w:rsidR="00AB01B9" w:rsidRDefault="00AB01B9" w:rsidP="00501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23E">
              <w:rPr>
                <w:rFonts w:ascii="Times New Roman" w:hAnsi="Times New Roman" w:cs="Times New Roman"/>
                <w:sz w:val="24"/>
                <w:szCs w:val="24"/>
              </w:rPr>
              <w:t xml:space="preserve"> Надання платіжного документа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Споживачу</w:t>
            </w:r>
            <w:r w:rsidRPr="009B323E">
              <w:rPr>
                <w:rFonts w:ascii="Times New Roman" w:hAnsi="Times New Roman" w:cs="Times New Roman"/>
                <w:sz w:val="24"/>
                <w:szCs w:val="24"/>
              </w:rPr>
              <w:t xml:space="preserve"> здійснюється будь-яким з наступних способів: через особистий кабінет; електронною поштою; іншим способом. </w:t>
            </w:r>
          </w:p>
          <w:p w14:paraId="2E12819C" w14:textId="77777777" w:rsidR="00AB01B9" w:rsidRDefault="00AB01B9" w:rsidP="00501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23E">
              <w:rPr>
                <w:rFonts w:ascii="Times New Roman" w:hAnsi="Times New Roman" w:cs="Times New Roman"/>
                <w:sz w:val="24"/>
                <w:szCs w:val="24"/>
              </w:rPr>
              <w:t xml:space="preserve">Про зміну будь-яких умов Договору Постачальник інформує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Споживача </w:t>
            </w:r>
            <w:r w:rsidRPr="009B323E">
              <w:rPr>
                <w:rFonts w:ascii="Times New Roman" w:hAnsi="Times New Roman" w:cs="Times New Roman"/>
                <w:sz w:val="24"/>
                <w:szCs w:val="24"/>
              </w:rPr>
              <w:t xml:space="preserve">одним з наступних способів: оприлюднення на офіційному веб-сайті; через особистий кабінет; засобами електронного зв’язку на електронну адресу. </w:t>
            </w:r>
          </w:p>
          <w:p w14:paraId="1702FD10" w14:textId="77777777" w:rsidR="00AB01B9" w:rsidRPr="00514354" w:rsidRDefault="00AB01B9" w:rsidP="00501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Споживач </w:t>
            </w:r>
            <w:r w:rsidRPr="009B323E">
              <w:rPr>
                <w:rFonts w:ascii="Times New Roman" w:hAnsi="Times New Roman" w:cs="Times New Roman"/>
                <w:sz w:val="24"/>
                <w:szCs w:val="24"/>
              </w:rPr>
              <w:t xml:space="preserve">має можливість ознайомитись з формою Договору про постачання електричної енергії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споживачу</w:t>
            </w:r>
            <w:r w:rsidRPr="009B323E">
              <w:rPr>
                <w:rFonts w:ascii="Times New Roman" w:hAnsi="Times New Roman" w:cs="Times New Roman"/>
                <w:sz w:val="24"/>
                <w:szCs w:val="24"/>
              </w:rPr>
              <w:t xml:space="preserve"> та додатками до договору на </w:t>
            </w:r>
            <w:r w:rsidRPr="0014221E">
              <w:rPr>
                <w:rFonts w:ascii="Times New Roman" w:hAnsi="Times New Roman" w:cs="Times New Roman"/>
                <w:sz w:val="24"/>
                <w:szCs w:val="24"/>
              </w:rPr>
              <w:t xml:space="preserve">офіційному сайті </w:t>
            </w:r>
            <w:hyperlink r:id="rId8" w:history="1">
              <w:r w:rsidRPr="002F197F">
                <w:rPr>
                  <w:rFonts w:ascii="Times New Roman" w:hAnsi="Times New Roman" w:cs="Times New Roman"/>
                  <w:sz w:val="24"/>
                  <w:szCs w:val="24"/>
                </w:rPr>
                <w:t>https://ees-t.group</w:t>
              </w:r>
            </w:hyperlink>
            <w:r w:rsidRPr="0014221E">
              <w:rPr>
                <w:rFonts w:ascii="Times New Roman" w:hAnsi="Times New Roman" w:cs="Times New Roman"/>
                <w:sz w:val="24"/>
                <w:szCs w:val="24"/>
              </w:rPr>
              <w:t xml:space="preserve">. Постачальник зобов’язується надавати Споживачу вільний доступ до </w:t>
            </w:r>
            <w:r w:rsidRPr="009B323E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інформації, безпосередньо пов’язаної з виконанням укладених з ним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B323E">
              <w:rPr>
                <w:rFonts w:ascii="Times New Roman" w:hAnsi="Times New Roman" w:cs="Times New Roman"/>
                <w:sz w:val="24"/>
                <w:szCs w:val="24"/>
              </w:rPr>
              <w:t>оговорів та здійсненням комерційних розрахунків, або будь-якої іншої інформації, пов’язаної з постачанням йому електричної енергії, та сподівається на плідну подальшу співпрацю</w:t>
            </w:r>
            <w:r>
              <w:t>.</w:t>
            </w:r>
          </w:p>
        </w:tc>
      </w:tr>
    </w:tbl>
    <w:p w14:paraId="65209F1C" w14:textId="77777777" w:rsidR="00AB01B9" w:rsidRDefault="00AB01B9" w:rsidP="00B479F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486549" w14:textId="77777777" w:rsidR="00CB4D5C" w:rsidRPr="00181BE0" w:rsidRDefault="00CB4D5C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b"/>
        <w:tblW w:w="941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4490"/>
      </w:tblGrid>
      <w:tr w:rsidR="00B479F9" w:rsidRPr="00181BE0" w14:paraId="37B0BD81" w14:textId="77777777" w:rsidTr="00CC3C69">
        <w:trPr>
          <w:trHeight w:val="107"/>
        </w:trPr>
        <w:tc>
          <w:tcPr>
            <w:tcW w:w="4928" w:type="dxa"/>
          </w:tcPr>
          <w:p w14:paraId="5D797FE0" w14:textId="4BA2C614" w:rsidR="00B479F9" w:rsidRPr="00181BE0" w:rsidRDefault="00B479F9" w:rsidP="00B47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81BE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Постачальник: </w:t>
            </w:r>
          </w:p>
        </w:tc>
        <w:tc>
          <w:tcPr>
            <w:tcW w:w="4490" w:type="dxa"/>
          </w:tcPr>
          <w:p w14:paraId="192B92F0" w14:textId="3E95C4C8" w:rsidR="00B479F9" w:rsidRPr="00181BE0" w:rsidRDefault="00B479F9" w:rsidP="00BD4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81BE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Споживач: </w:t>
            </w:r>
          </w:p>
        </w:tc>
      </w:tr>
      <w:tr w:rsidR="00B479F9" w:rsidRPr="00181BE0" w14:paraId="70B97495" w14:textId="77777777" w:rsidTr="00CC3C69">
        <w:trPr>
          <w:trHeight w:val="1801"/>
        </w:trPr>
        <w:tc>
          <w:tcPr>
            <w:tcW w:w="4928" w:type="dxa"/>
          </w:tcPr>
          <w:p w14:paraId="7FB4EABF" w14:textId="77777777" w:rsidR="00B479F9" w:rsidRPr="009B323E" w:rsidRDefault="00B479F9" w:rsidP="00B47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tbl>
            <w:tblPr>
              <w:tblStyle w:val="ac"/>
              <w:tblW w:w="4709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4709"/>
            </w:tblGrid>
            <w:tr w:rsidR="00B479F9" w:rsidRPr="009B323E" w14:paraId="27B7B5F3" w14:textId="77777777" w:rsidTr="00CC3C69">
              <w:trPr>
                <w:trHeight w:val="1801"/>
              </w:trPr>
              <w:tc>
                <w:tcPr>
                  <w:tcW w:w="4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9EAE67" w14:textId="65C5CD4C" w:rsidR="00B479F9" w:rsidRPr="009B323E" w:rsidRDefault="00B479F9" w:rsidP="00B479F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B323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ТОВ «</w:t>
                  </w:r>
                  <w:r w:rsidR="00163E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ЕЕС</w:t>
                  </w:r>
                  <w:r w:rsidRPr="009B323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»</w:t>
                  </w:r>
                </w:p>
                <w:p w14:paraId="1495796A" w14:textId="77777777" w:rsidR="00B479F9" w:rsidRPr="009B323E" w:rsidRDefault="00B479F9" w:rsidP="00B479F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B323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Адреса: Україна, 01011, м. Київ, вул. Генерала </w:t>
                  </w:r>
                  <w:proofErr w:type="spellStart"/>
                  <w:r w:rsidRPr="009B323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Алмазова</w:t>
                  </w:r>
                  <w:proofErr w:type="spellEnd"/>
                  <w:r w:rsidRPr="009B323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, буд. 4., оф. 6</w:t>
                  </w:r>
                </w:p>
                <w:p w14:paraId="455FA2BC" w14:textId="77777777" w:rsidR="00B479F9" w:rsidRPr="009B323E" w:rsidRDefault="00B479F9" w:rsidP="00B479F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B323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Адреса для листування: Україна, 04052, м. Київ, вул. </w:t>
                  </w:r>
                  <w:proofErr w:type="spellStart"/>
                  <w:r w:rsidRPr="009B323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Глибочицька</w:t>
                  </w:r>
                  <w:proofErr w:type="spellEnd"/>
                  <w:r w:rsidRPr="009B323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, буд. 40 літера «НП», офіс13</w:t>
                  </w:r>
                </w:p>
                <w:p w14:paraId="00F2EE3A" w14:textId="5CA93096" w:rsidR="00B479F9" w:rsidRPr="009B323E" w:rsidRDefault="00B479F9" w:rsidP="00B479F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B323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Код ЄДРПОУ 44197402  </w:t>
                  </w:r>
                </w:p>
                <w:p w14:paraId="02A9D814" w14:textId="61B9DE1B" w:rsidR="00B479F9" w:rsidRPr="009B323E" w:rsidRDefault="00B479F9" w:rsidP="00B479F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B323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ІПН 4419740165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</w:t>
                  </w:r>
                  <w:r w:rsidRPr="009B323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</w:t>
                  </w:r>
                </w:p>
                <w:p w14:paraId="48D322CD" w14:textId="328A9610" w:rsidR="00B479F9" w:rsidRPr="009B323E" w:rsidRDefault="00B479F9" w:rsidP="00B479F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B323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ЕІС № </w:t>
                  </w:r>
                  <w:r w:rsidRPr="009B3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62Х8723229989147</w:t>
                  </w:r>
                </w:p>
                <w:p w14:paraId="66EAE5E7" w14:textId="77777777" w:rsidR="00B479F9" w:rsidRPr="009B323E" w:rsidRDefault="00B479F9" w:rsidP="00B479F9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B323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Поточний рахунок зі спеціальним режимом використання:</w:t>
                  </w:r>
                </w:p>
                <w:p w14:paraId="5C82AED3" w14:textId="09ABBF01" w:rsidR="00B479F9" w:rsidRPr="009B323E" w:rsidRDefault="00B479F9" w:rsidP="00B479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23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IBAN </w:t>
                  </w:r>
                  <w:r w:rsidRPr="009B3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UA093223130000026037000008500</w:t>
                  </w:r>
                </w:p>
                <w:p w14:paraId="1C79C1AD" w14:textId="77777777" w:rsidR="00B479F9" w:rsidRPr="009B323E" w:rsidRDefault="00B479F9" w:rsidP="00B479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 філії АТ «Укрексімбанк» у м. Києві</w:t>
                  </w:r>
                </w:p>
                <w:p w14:paraId="0607C857" w14:textId="77777777" w:rsidR="00B479F9" w:rsidRPr="009B323E" w:rsidRDefault="00B479F9" w:rsidP="00B479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МФО 322313</w:t>
                  </w:r>
                </w:p>
                <w:p w14:paraId="739D77CF" w14:textId="1CCB3F04" w:rsidR="00B479F9" w:rsidRPr="00CC3C69" w:rsidRDefault="00B479F9" w:rsidP="00B479F9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 w:rsidRPr="009B323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Тел</w:t>
                  </w:r>
                  <w:proofErr w:type="spellEnd"/>
                  <w:r w:rsidRPr="009B323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.: </w:t>
                  </w:r>
                  <w:r w:rsidRPr="00CC3C69">
                    <w:rPr>
                      <w:rFonts w:ascii="Times New Roman" w:hAnsi="Times New Roman"/>
                      <w:sz w:val="24"/>
                    </w:rPr>
                    <w:t>+</w:t>
                  </w:r>
                  <w:r w:rsidRPr="009B323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(</w:t>
                  </w:r>
                  <w:r w:rsidRPr="00CC3C69">
                    <w:rPr>
                      <w:rFonts w:ascii="Times New Roman" w:hAnsi="Times New Roman"/>
                      <w:sz w:val="24"/>
                    </w:rPr>
                    <w:t>380</w:t>
                  </w:r>
                  <w:r w:rsidRPr="009B323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)</w:t>
                  </w:r>
                  <w:r w:rsidRPr="00CC3C69">
                    <w:rPr>
                      <w:rFonts w:ascii="Times New Roman" w:hAnsi="Times New Roman"/>
                      <w:sz w:val="24"/>
                    </w:rPr>
                    <w:t xml:space="preserve"> 666-</w:t>
                  </w:r>
                  <w:r w:rsidRPr="009B323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555-800</w:t>
                  </w:r>
                </w:p>
                <w:p w14:paraId="7B0A47F7" w14:textId="3C3D3207" w:rsidR="00B479F9" w:rsidRPr="009B323E" w:rsidRDefault="00B479F9" w:rsidP="00B479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23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Офіційний сайт: </w:t>
                  </w:r>
                  <w:hyperlink r:id="rId9" w:history="1">
                    <w:r w:rsidRPr="009B323E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https://ees.group</w:t>
                    </w:r>
                  </w:hyperlink>
                </w:p>
                <w:p w14:paraId="5477D407" w14:textId="77777777" w:rsidR="00B479F9" w:rsidRPr="009B323E" w:rsidRDefault="00B479F9" w:rsidP="00B479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E-</w:t>
                  </w:r>
                  <w:proofErr w:type="spellStart"/>
                  <w:r w:rsidRPr="009B3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mail</w:t>
                  </w:r>
                  <w:proofErr w:type="spellEnd"/>
                  <w:r w:rsidRPr="009B32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hyperlink r:id="rId10" w:history="1">
                    <w:r w:rsidRPr="009B323E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office@ees.group</w:t>
                    </w:r>
                  </w:hyperlink>
                </w:p>
                <w:p w14:paraId="140DEFC8" w14:textId="7E276DB8" w:rsidR="00B479F9" w:rsidRPr="009B323E" w:rsidRDefault="00B479F9" w:rsidP="00B479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323E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Платник податку на прибуток на загальних підставах</w:t>
                  </w:r>
                </w:p>
                <w:p w14:paraId="75B479F6" w14:textId="77777777" w:rsidR="00B479F9" w:rsidRPr="009B323E" w:rsidRDefault="00B479F9" w:rsidP="00B479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B479F9" w:rsidRPr="009B323E" w14:paraId="4526C07B" w14:textId="77777777" w:rsidTr="00CC3C69">
              <w:trPr>
                <w:trHeight w:val="107"/>
              </w:trPr>
              <w:tc>
                <w:tcPr>
                  <w:tcW w:w="4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CBEE30" w14:textId="77777777" w:rsidR="00B479F9" w:rsidRPr="009B323E" w:rsidRDefault="00B479F9" w:rsidP="00B479F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14:paraId="237D8925" w14:textId="77777777" w:rsidR="00B479F9" w:rsidRDefault="00B479F9" w:rsidP="00B479F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9B323E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Генеральний директор </w:t>
                  </w:r>
                </w:p>
                <w:p w14:paraId="220324E3" w14:textId="77777777" w:rsidR="00B479F9" w:rsidRDefault="00B479F9" w:rsidP="00B479F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14:paraId="6DAAE723" w14:textId="5EADE026" w:rsidR="00B479F9" w:rsidRPr="009B323E" w:rsidRDefault="00B479F9" w:rsidP="00B479F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14:paraId="50721F47" w14:textId="77777777" w:rsidR="00B479F9" w:rsidRPr="009B323E" w:rsidRDefault="00B479F9" w:rsidP="00B479F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9B323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vertAlign w:val="superscript"/>
                    </w:rPr>
                    <w:t xml:space="preserve">                                   </w:t>
                  </w:r>
                </w:p>
              </w:tc>
            </w:tr>
          </w:tbl>
          <w:p w14:paraId="7F964197" w14:textId="77777777" w:rsidR="00B479F9" w:rsidRPr="009B323E" w:rsidRDefault="00B479F9" w:rsidP="00B479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90" w:type="dxa"/>
          </w:tcPr>
          <w:p w14:paraId="77599E1E" w14:textId="7285F82B" w:rsidR="00B479F9" w:rsidRPr="00181BE0" w:rsidRDefault="00B479F9" w:rsidP="00B47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81BE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 xml:space="preserve">_________________ </w:t>
            </w:r>
          </w:p>
          <w:p w14:paraId="4413CF39" w14:textId="77777777" w:rsidR="00B479F9" w:rsidRPr="00181BE0" w:rsidRDefault="00B479F9" w:rsidP="00B47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Місцезнаходження: </w:t>
            </w:r>
          </w:p>
          <w:p w14:paraId="47018DF5" w14:textId="188E8328" w:rsidR="00B479F9" w:rsidRPr="00CC3C69" w:rsidRDefault="00B479F9" w:rsidP="00CC3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7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Поштова</w:t>
            </w:r>
            <w:r w:rsidRPr="00CC3C69">
              <w:rPr>
                <w:rFonts w:ascii="Times New Roman" w:hAnsi="Times New Roman"/>
                <w:color w:val="000000" w:themeColor="text1"/>
                <w:sz w:val="26"/>
              </w:rPr>
              <w:t xml:space="preserve"> адреса</w:t>
            </w: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: </w:t>
            </w:r>
          </w:p>
          <w:p w14:paraId="21AFB816" w14:textId="77777777" w:rsidR="00B479F9" w:rsidRPr="00181BE0" w:rsidRDefault="00B479F9" w:rsidP="00B47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Банківські реквізити: </w:t>
            </w:r>
          </w:p>
          <w:p w14:paraId="6D35F3CA" w14:textId="77777777" w:rsidR="00B479F9" w:rsidRPr="00181BE0" w:rsidRDefault="00B479F9" w:rsidP="00B47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п/р № _____________ </w:t>
            </w:r>
          </w:p>
          <w:p w14:paraId="49D67761" w14:textId="77777777" w:rsidR="00B479F9" w:rsidRPr="00181BE0" w:rsidRDefault="00B479F9" w:rsidP="00B47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в _________________ </w:t>
            </w:r>
          </w:p>
          <w:p w14:paraId="43AEACC3" w14:textId="77777777" w:rsidR="00B479F9" w:rsidRPr="00181BE0" w:rsidRDefault="00B479F9" w:rsidP="00B47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МФО _______ </w:t>
            </w:r>
          </w:p>
          <w:p w14:paraId="1F269D98" w14:textId="2AB4799A" w:rsidR="00B479F9" w:rsidRPr="00CC3C69" w:rsidRDefault="00B479F9" w:rsidP="00CC3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7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r w:rsidRPr="00CC3C69">
              <w:rPr>
                <w:rFonts w:ascii="Times New Roman" w:hAnsi="Times New Roman"/>
                <w:color w:val="000000" w:themeColor="text1"/>
                <w:sz w:val="26"/>
              </w:rPr>
              <w:t xml:space="preserve">Код </w:t>
            </w: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за </w:t>
            </w:r>
            <w:r w:rsidRPr="00CC3C69">
              <w:rPr>
                <w:rFonts w:ascii="Times New Roman" w:hAnsi="Times New Roman"/>
                <w:color w:val="000000" w:themeColor="text1"/>
                <w:sz w:val="26"/>
              </w:rPr>
              <w:t xml:space="preserve">ЄДРПОУ </w:t>
            </w: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_________ </w:t>
            </w:r>
          </w:p>
          <w:p w14:paraId="27788126" w14:textId="121CB846" w:rsidR="00B479F9" w:rsidRPr="00CC3C69" w:rsidRDefault="00B479F9" w:rsidP="00CC3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720"/>
              <w:jc w:val="both"/>
              <w:rPr>
                <w:rFonts w:ascii="Times New Roman" w:hAnsi="Times New Roman"/>
                <w:color w:val="000000" w:themeColor="text1"/>
                <w:sz w:val="26"/>
              </w:rPr>
            </w:pPr>
            <w:proofErr w:type="spellStart"/>
            <w:r w:rsidRPr="00CC3C69">
              <w:rPr>
                <w:rFonts w:ascii="Times New Roman" w:hAnsi="Times New Roman"/>
                <w:color w:val="000000" w:themeColor="text1"/>
                <w:sz w:val="26"/>
              </w:rPr>
              <w:t>Тел</w:t>
            </w:r>
            <w:proofErr w:type="spellEnd"/>
            <w:r w:rsidRPr="00CC3C69">
              <w:rPr>
                <w:rFonts w:ascii="Times New Roman" w:hAnsi="Times New Roman"/>
                <w:color w:val="000000" w:themeColor="text1"/>
                <w:sz w:val="26"/>
              </w:rPr>
              <w:t xml:space="preserve">. </w:t>
            </w:r>
          </w:p>
          <w:p w14:paraId="54FF59BB" w14:textId="1F1E7F1C" w:rsidR="00B479F9" w:rsidRPr="00181BE0" w:rsidRDefault="00B479F9" w:rsidP="00B47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E-</w:t>
            </w:r>
            <w:proofErr w:type="spellStart"/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mail</w:t>
            </w:r>
            <w:proofErr w:type="spellEnd"/>
            <w:r w:rsidRPr="00181BE0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: __________________ </w:t>
            </w:r>
          </w:p>
          <w:p w14:paraId="63224D59" w14:textId="77777777" w:rsidR="00B479F9" w:rsidRPr="00181BE0" w:rsidRDefault="00B479F9" w:rsidP="00B47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5FE372F" w14:textId="77777777" w:rsidR="00B479F9" w:rsidRPr="00181BE0" w:rsidRDefault="00B479F9" w:rsidP="00B47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7497D678" w14:textId="77777777" w:rsidR="00B479F9" w:rsidRPr="00181BE0" w:rsidRDefault="00B479F9" w:rsidP="00B47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000BB5FB" w14:textId="77777777" w:rsidR="00B479F9" w:rsidRPr="00181BE0" w:rsidRDefault="00B479F9" w:rsidP="00B47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5C50FF60" w14:textId="77777777" w:rsidR="00B479F9" w:rsidRPr="00181BE0" w:rsidRDefault="00B479F9" w:rsidP="00B47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2A61F1A0" w14:textId="77777777" w:rsidR="00B479F9" w:rsidRPr="00181BE0" w:rsidRDefault="00B479F9" w:rsidP="00B47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7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0A7F4FE2" w14:textId="77777777" w:rsidR="00B479F9" w:rsidRPr="00181BE0" w:rsidRDefault="00B479F9" w:rsidP="00B47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81BE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 xml:space="preserve">           </w:t>
            </w:r>
          </w:p>
          <w:p w14:paraId="0AB8B8F5" w14:textId="77777777" w:rsidR="00AB01B9" w:rsidRDefault="00B479F9" w:rsidP="00BD4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81BE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          </w:t>
            </w:r>
          </w:p>
          <w:p w14:paraId="632E0BAF" w14:textId="77777777" w:rsidR="00AB01B9" w:rsidRDefault="00AB01B9" w:rsidP="00BD4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5999A4D5" w14:textId="77777777" w:rsidR="00AB01B9" w:rsidRDefault="00AB01B9" w:rsidP="00BD4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22E61B7E" w14:textId="78832119" w:rsidR="00B479F9" w:rsidRPr="00BD4B2B" w:rsidRDefault="00B479F9" w:rsidP="00AB0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1BE0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Директор_________________</w:t>
            </w:r>
          </w:p>
        </w:tc>
      </w:tr>
    </w:tbl>
    <w:p w14:paraId="15BA6E5E" w14:textId="77777777" w:rsidR="00CB4D5C" w:rsidRDefault="00CB4D5C"/>
    <w:sectPr w:rsidR="00CB4D5C">
      <w:headerReference w:type="default" r:id="rId11"/>
      <w:footerReference w:type="default" r:id="rId12"/>
      <w:pgSz w:w="11906" w:h="16838"/>
      <w:pgMar w:top="28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DC18C" w14:textId="77777777" w:rsidR="00353E3E" w:rsidRDefault="00353E3E" w:rsidP="009C70B3">
      <w:pPr>
        <w:spacing w:after="0" w:line="240" w:lineRule="auto"/>
      </w:pPr>
      <w:r>
        <w:separator/>
      </w:r>
    </w:p>
  </w:endnote>
  <w:endnote w:type="continuationSeparator" w:id="0">
    <w:p w14:paraId="39FDFAA4" w14:textId="77777777" w:rsidR="00353E3E" w:rsidRDefault="00353E3E" w:rsidP="009C70B3">
      <w:pPr>
        <w:spacing w:after="0" w:line="240" w:lineRule="auto"/>
      </w:pPr>
      <w:r>
        <w:continuationSeparator/>
      </w:r>
    </w:p>
  </w:endnote>
  <w:endnote w:type="continuationNotice" w:id="1">
    <w:p w14:paraId="136C19BD" w14:textId="77777777" w:rsidR="00353E3E" w:rsidRDefault="00353E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3178127"/>
      <w:docPartObj>
        <w:docPartGallery w:val="Page Numbers (Bottom of Page)"/>
        <w:docPartUnique/>
      </w:docPartObj>
    </w:sdtPr>
    <w:sdtEndPr/>
    <w:sdtContent>
      <w:p w14:paraId="7A8634AF" w14:textId="59178889" w:rsidR="00AB2DE5" w:rsidRDefault="00AB2DE5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F57" w:rsidRPr="00AA5F57">
          <w:rPr>
            <w:noProof/>
            <w:lang w:val="ru-RU"/>
          </w:rPr>
          <w:t>6</w:t>
        </w:r>
        <w:r>
          <w:fldChar w:fldCharType="end"/>
        </w:r>
      </w:p>
    </w:sdtContent>
  </w:sdt>
  <w:p w14:paraId="1594F556" w14:textId="77777777" w:rsidR="00AB2DE5" w:rsidRDefault="00AB2DE5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77860" w14:textId="77777777" w:rsidR="00353E3E" w:rsidRDefault="00353E3E" w:rsidP="009C70B3">
      <w:pPr>
        <w:spacing w:after="0" w:line="240" w:lineRule="auto"/>
      </w:pPr>
      <w:r>
        <w:separator/>
      </w:r>
    </w:p>
  </w:footnote>
  <w:footnote w:type="continuationSeparator" w:id="0">
    <w:p w14:paraId="1F40AFF0" w14:textId="77777777" w:rsidR="00353E3E" w:rsidRDefault="00353E3E" w:rsidP="009C70B3">
      <w:pPr>
        <w:spacing w:after="0" w:line="240" w:lineRule="auto"/>
      </w:pPr>
      <w:r>
        <w:continuationSeparator/>
      </w:r>
    </w:p>
  </w:footnote>
  <w:footnote w:type="continuationNotice" w:id="1">
    <w:p w14:paraId="11237366" w14:textId="77777777" w:rsidR="00353E3E" w:rsidRDefault="00353E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0BEE8" w14:textId="77777777" w:rsidR="00AA5F57" w:rsidRDefault="00AA5F57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03A41"/>
    <w:multiLevelType w:val="hybridMultilevel"/>
    <w:tmpl w:val="E5B04358"/>
    <w:lvl w:ilvl="0" w:tplc="0419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1" w15:restartNumberingAfterBreak="0">
    <w:nsid w:val="41A50679"/>
    <w:multiLevelType w:val="hybridMultilevel"/>
    <w:tmpl w:val="628628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00801E8"/>
    <w:multiLevelType w:val="multilevel"/>
    <w:tmpl w:val="B64ADF54"/>
    <w:lvl w:ilvl="0">
      <w:start w:val="5"/>
      <w:numFmt w:val="bullet"/>
      <w:lvlText w:val="-"/>
      <w:lvlJc w:val="left"/>
      <w:pPr>
        <w:ind w:left="471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1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31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D5C"/>
    <w:rsid w:val="00010A03"/>
    <w:rsid w:val="00041766"/>
    <w:rsid w:val="00082133"/>
    <w:rsid w:val="000F1657"/>
    <w:rsid w:val="000F5835"/>
    <w:rsid w:val="00102DCA"/>
    <w:rsid w:val="0014221E"/>
    <w:rsid w:val="0014532A"/>
    <w:rsid w:val="00163ED0"/>
    <w:rsid w:val="0016734C"/>
    <w:rsid w:val="00167BA3"/>
    <w:rsid w:val="00181BE0"/>
    <w:rsid w:val="00186969"/>
    <w:rsid w:val="00210122"/>
    <w:rsid w:val="002320B0"/>
    <w:rsid w:val="0024177E"/>
    <w:rsid w:val="002672FB"/>
    <w:rsid w:val="00274F6D"/>
    <w:rsid w:val="0029442B"/>
    <w:rsid w:val="002C1A6E"/>
    <w:rsid w:val="002C3FE1"/>
    <w:rsid w:val="002F197F"/>
    <w:rsid w:val="00353E3E"/>
    <w:rsid w:val="003D50DB"/>
    <w:rsid w:val="003E72F2"/>
    <w:rsid w:val="004133ED"/>
    <w:rsid w:val="00414E4B"/>
    <w:rsid w:val="00423BB0"/>
    <w:rsid w:val="0046064B"/>
    <w:rsid w:val="004766D7"/>
    <w:rsid w:val="004905BE"/>
    <w:rsid w:val="00497A70"/>
    <w:rsid w:val="004B18C8"/>
    <w:rsid w:val="004B7865"/>
    <w:rsid w:val="004E667D"/>
    <w:rsid w:val="00514354"/>
    <w:rsid w:val="00574AB6"/>
    <w:rsid w:val="005F478E"/>
    <w:rsid w:val="00630725"/>
    <w:rsid w:val="00656D49"/>
    <w:rsid w:val="00667638"/>
    <w:rsid w:val="00697DEB"/>
    <w:rsid w:val="006A7BEE"/>
    <w:rsid w:val="00707FEB"/>
    <w:rsid w:val="00721C88"/>
    <w:rsid w:val="00790AC5"/>
    <w:rsid w:val="00796CCC"/>
    <w:rsid w:val="007C46B5"/>
    <w:rsid w:val="007D38E0"/>
    <w:rsid w:val="007E43A0"/>
    <w:rsid w:val="00887921"/>
    <w:rsid w:val="00887BE1"/>
    <w:rsid w:val="008A1695"/>
    <w:rsid w:val="00954569"/>
    <w:rsid w:val="009701E5"/>
    <w:rsid w:val="009776A7"/>
    <w:rsid w:val="009B323E"/>
    <w:rsid w:val="009B611E"/>
    <w:rsid w:val="009B7AB6"/>
    <w:rsid w:val="009C70B3"/>
    <w:rsid w:val="009D3A3D"/>
    <w:rsid w:val="009D4DA8"/>
    <w:rsid w:val="00A03A2B"/>
    <w:rsid w:val="00A6151C"/>
    <w:rsid w:val="00A77C87"/>
    <w:rsid w:val="00AA5F57"/>
    <w:rsid w:val="00AB01B9"/>
    <w:rsid w:val="00AB2DE5"/>
    <w:rsid w:val="00AC5C13"/>
    <w:rsid w:val="00AF608C"/>
    <w:rsid w:val="00B05FAE"/>
    <w:rsid w:val="00B168D0"/>
    <w:rsid w:val="00B45D4B"/>
    <w:rsid w:val="00B479F9"/>
    <w:rsid w:val="00B700F7"/>
    <w:rsid w:val="00BA629A"/>
    <w:rsid w:val="00BC7270"/>
    <w:rsid w:val="00BD4B2B"/>
    <w:rsid w:val="00BF35C6"/>
    <w:rsid w:val="00BF5A18"/>
    <w:rsid w:val="00C06D53"/>
    <w:rsid w:val="00C20A37"/>
    <w:rsid w:val="00C23145"/>
    <w:rsid w:val="00C3501E"/>
    <w:rsid w:val="00C44DFF"/>
    <w:rsid w:val="00C8307C"/>
    <w:rsid w:val="00C91900"/>
    <w:rsid w:val="00CB4D5C"/>
    <w:rsid w:val="00CC3C69"/>
    <w:rsid w:val="00CE23EA"/>
    <w:rsid w:val="00D449A2"/>
    <w:rsid w:val="00D52383"/>
    <w:rsid w:val="00D70090"/>
    <w:rsid w:val="00D8356D"/>
    <w:rsid w:val="00D83F67"/>
    <w:rsid w:val="00DA3957"/>
    <w:rsid w:val="00DB22EB"/>
    <w:rsid w:val="00DE6EB3"/>
    <w:rsid w:val="00DF18F9"/>
    <w:rsid w:val="00DF1D66"/>
    <w:rsid w:val="00E56235"/>
    <w:rsid w:val="00E57C08"/>
    <w:rsid w:val="00E72EF3"/>
    <w:rsid w:val="00E73FE7"/>
    <w:rsid w:val="00EE2326"/>
    <w:rsid w:val="00F14282"/>
    <w:rsid w:val="00F173B5"/>
    <w:rsid w:val="00F27A8A"/>
    <w:rsid w:val="00F46AE6"/>
    <w:rsid w:val="00F5471C"/>
    <w:rsid w:val="00F8381C"/>
    <w:rsid w:val="00FD02D4"/>
    <w:rsid w:val="00FD1372"/>
    <w:rsid w:val="00FD2807"/>
    <w:rsid w:val="00FE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84E5"/>
  <w15:docId w15:val="{10FFEDA4-74D5-4C01-95EA-238B28F1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12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28E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F1125"/>
    <w:pPr>
      <w:widowControl w:val="0"/>
      <w:autoSpaceDE w:val="0"/>
      <w:autoSpaceDN w:val="0"/>
      <w:spacing w:after="0" w:line="240" w:lineRule="auto"/>
      <w:ind w:left="111"/>
    </w:pPr>
    <w:rPr>
      <w:rFonts w:cs="Times New Roman"/>
    </w:rPr>
  </w:style>
  <w:style w:type="character" w:styleId="a5">
    <w:name w:val="Hyperlink"/>
    <w:basedOn w:val="a0"/>
    <w:uiPriority w:val="99"/>
    <w:unhideWhenUsed/>
    <w:rsid w:val="003F112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F1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1125"/>
    <w:rPr>
      <w:rFonts w:ascii="Segoe UI" w:hAnsi="Segoe UI" w:cs="Segoe UI"/>
      <w:sz w:val="18"/>
      <w:szCs w:val="18"/>
    </w:rPr>
  </w:style>
  <w:style w:type="table" w:customStyle="1" w:styleId="10">
    <w:name w:val="Сетка таблицы1"/>
    <w:basedOn w:val="a1"/>
    <w:next w:val="a4"/>
    <w:uiPriority w:val="39"/>
    <w:rsid w:val="007979D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554C0"/>
    <w:pPr>
      <w:ind w:left="720"/>
      <w:contextualSpacing/>
    </w:pPr>
  </w:style>
  <w:style w:type="character" w:customStyle="1" w:styleId="m2311171088511734802xfm81735160">
    <w:name w:val="m_2311171088511734802xfm_81735160"/>
    <w:basedOn w:val="a0"/>
    <w:rsid w:val="008554C0"/>
  </w:style>
  <w:style w:type="character" w:customStyle="1" w:styleId="30">
    <w:name w:val="Заголовок 3 Знак"/>
    <w:basedOn w:val="a0"/>
    <w:link w:val="3"/>
    <w:uiPriority w:val="9"/>
    <w:semiHidden/>
    <w:rsid w:val="00AC028E"/>
    <w:rPr>
      <w:rFonts w:asciiTheme="majorHAnsi" w:eastAsiaTheme="majorEastAsia" w:hAnsiTheme="majorHAnsi" w:cstheme="majorBidi"/>
      <w:b/>
      <w:bCs/>
      <w:color w:val="5B9BD5" w:themeColor="accent1"/>
      <w:lang w:val="uk-UA"/>
    </w:rPr>
  </w:style>
  <w:style w:type="paragraph" w:styleId="HTML">
    <w:name w:val="HTML Preformatted"/>
    <w:basedOn w:val="a"/>
    <w:link w:val="HTML0"/>
    <w:unhideWhenUsed/>
    <w:rsid w:val="00AC02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AC028E"/>
    <w:rPr>
      <w:rFonts w:ascii="Times New Roman" w:eastAsia="Times New Roman" w:hAnsi="Times New Roman" w:cs="Times New Roman"/>
      <w:sz w:val="20"/>
      <w:szCs w:val="20"/>
      <w:lang w:val="uk-UA"/>
    </w:rPr>
  </w:style>
  <w:style w:type="paragraph" w:customStyle="1" w:styleId="Default">
    <w:name w:val="Default"/>
    <w:rsid w:val="00AC028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go">
    <w:name w:val="go"/>
    <w:basedOn w:val="a0"/>
    <w:rsid w:val="00AC028E"/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721C8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21C88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721C8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21C88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721C88"/>
    <w:rPr>
      <w:b/>
      <w:bCs/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9C7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ій колонтитул Знак"/>
    <w:basedOn w:val="a0"/>
    <w:link w:val="af2"/>
    <w:uiPriority w:val="99"/>
    <w:rsid w:val="009C70B3"/>
  </w:style>
  <w:style w:type="paragraph" w:styleId="af4">
    <w:name w:val="footer"/>
    <w:basedOn w:val="a"/>
    <w:link w:val="af5"/>
    <w:uiPriority w:val="99"/>
    <w:unhideWhenUsed/>
    <w:rsid w:val="009C7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ій колонтитул Знак"/>
    <w:basedOn w:val="a0"/>
    <w:link w:val="af4"/>
    <w:uiPriority w:val="99"/>
    <w:rsid w:val="009C70B3"/>
  </w:style>
  <w:style w:type="paragraph" w:styleId="af6">
    <w:name w:val="Revision"/>
    <w:hidden/>
    <w:uiPriority w:val="99"/>
    <w:semiHidden/>
    <w:rsid w:val="00A77C87"/>
    <w:pPr>
      <w:spacing w:after="0" w:line="240" w:lineRule="auto"/>
    </w:pPr>
  </w:style>
  <w:style w:type="character" w:customStyle="1" w:styleId="11">
    <w:name w:val="Незакрита згадка1"/>
    <w:basedOn w:val="a0"/>
    <w:uiPriority w:val="99"/>
    <w:semiHidden/>
    <w:unhideWhenUsed/>
    <w:rsid w:val="00AA5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s-t.grou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ffice@ees.grou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es.grou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ZfxhCnlhaGeELti8bN0F+EWzCw==">AMUW2mU3xTNz3qC3esBAIbD+gyQtcOFViO8G/dJZlG6D5RrH9VAYySE/56b345FYjvCVpK3tC0XpyL5IELE/NxIpun0X+ABk3pZ+E6HjDAgUsv342PwlbpyEaMTJFlELp/gKfAWvC5a7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2040</Words>
  <Characters>11634</Characters>
  <Application>Microsoft Office Word</Application>
  <DocSecurity>0</DocSecurity>
  <Lines>96</Lines>
  <Paragraphs>27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13647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Анастасія Гльоза</cp:lastModifiedBy>
  <cp:revision>2</cp:revision>
  <cp:lastPrinted>2023-12-07T12:46:00Z</cp:lastPrinted>
  <dcterms:created xsi:type="dcterms:W3CDTF">2024-06-24T07:18:00Z</dcterms:created>
  <dcterms:modified xsi:type="dcterms:W3CDTF">2024-06-24T07:18:00Z</dcterms:modified>
</cp:coreProperties>
</file>